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4453" w14:textId="77777777" w:rsidR="001356E1" w:rsidRDefault="00000000">
      <w:pPr>
        <w:jc w:val="center"/>
        <w:rPr>
          <w:rFonts w:ascii="Times New Roman" w:hAnsi="Times New Roman" w:cs="Times New Roman"/>
          <w:b/>
          <w:sz w:val="28"/>
          <w:szCs w:val="28"/>
        </w:rPr>
      </w:pPr>
      <w:r>
        <w:rPr>
          <w:rFonts w:ascii="Times New Roman" w:hAnsi="Times New Roman" w:cs="Times New Roman"/>
          <w:b/>
          <w:sz w:val="28"/>
          <w:szCs w:val="28"/>
        </w:rPr>
        <w:t>Заява</w:t>
      </w:r>
    </w:p>
    <w:p w14:paraId="1056E784" w14:textId="77777777" w:rsidR="001356E1" w:rsidRDefault="00000000">
      <w:pPr>
        <w:jc w:val="center"/>
        <w:rPr>
          <w:rFonts w:ascii="Times New Roman" w:hAnsi="Times New Roman" w:cs="Times New Roman"/>
          <w:b/>
          <w:sz w:val="28"/>
          <w:szCs w:val="28"/>
        </w:rPr>
      </w:pPr>
      <w:r>
        <w:rPr>
          <w:rFonts w:ascii="Times New Roman" w:hAnsi="Times New Roman" w:cs="Times New Roman"/>
          <w:b/>
          <w:sz w:val="28"/>
          <w:szCs w:val="28"/>
        </w:rPr>
        <w:t>про визначення обсягу стратегічної екологічної оцінки Програми економічного і соціального розвитку Покровської міської територіальної громади Донецької області на 2024 рік.</w:t>
      </w:r>
    </w:p>
    <w:p w14:paraId="70FC71BE" w14:textId="77777777" w:rsidR="001356E1" w:rsidRDefault="001356E1">
      <w:pPr>
        <w:jc w:val="both"/>
        <w:rPr>
          <w:rFonts w:ascii="Times New Roman" w:hAnsi="Times New Roman" w:cs="Times New Roman"/>
          <w:sz w:val="28"/>
          <w:szCs w:val="28"/>
        </w:rPr>
      </w:pPr>
    </w:p>
    <w:p w14:paraId="1FA4681B"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Замовник:</w:t>
      </w:r>
    </w:p>
    <w:p w14:paraId="013AA4CF"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Покровська міська військова адміністрація</w:t>
      </w:r>
    </w:p>
    <w:p w14:paraId="41D15A3D" w14:textId="77777777" w:rsidR="001356E1" w:rsidRDefault="00000000">
      <w:pPr>
        <w:jc w:val="both"/>
        <w:rPr>
          <w:rFonts w:ascii="Times New Roman" w:hAnsi="Times New Roman" w:cs="Times New Roman"/>
          <w:sz w:val="28"/>
          <w:szCs w:val="28"/>
        </w:rPr>
      </w:pPr>
      <w:r>
        <w:rPr>
          <w:rFonts w:ascii="Times New Roman" w:hAnsi="Times New Roman" w:cs="Times New Roman"/>
          <w:b/>
          <w:sz w:val="28"/>
          <w:szCs w:val="28"/>
        </w:rPr>
        <w:t>1.Назва документа державного планування:</w:t>
      </w:r>
    </w:p>
    <w:p w14:paraId="177FA31E" w14:textId="77777777" w:rsidR="001356E1" w:rsidRDefault="00000000">
      <w:pPr>
        <w:ind w:firstLine="720"/>
        <w:jc w:val="both"/>
        <w:rPr>
          <w:rFonts w:ascii="Times New Roman" w:hAnsi="Times New Roman" w:cs="Times New Roman"/>
          <w:sz w:val="28"/>
          <w:szCs w:val="28"/>
        </w:rPr>
      </w:pPr>
      <w:r>
        <w:rPr>
          <w:rFonts w:ascii="Times New Roman" w:hAnsi="Times New Roman" w:cs="Times New Roman"/>
          <w:sz w:val="28"/>
          <w:szCs w:val="28"/>
        </w:rPr>
        <w:t>Програма економічного і соціального розвитку Покровської міської територіальної громади Донецької області на 2024 рік</w:t>
      </w:r>
    </w:p>
    <w:p w14:paraId="16A16362"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2. Основні цілі документа державного планування, його зв’язок з іншими документами державного планування</w:t>
      </w:r>
    </w:p>
    <w:p w14:paraId="486E63E5" w14:textId="77777777" w:rsidR="001356E1" w:rsidRDefault="00000000">
      <w:pPr>
        <w:shd w:val="clear" w:color="auto" w:fill="FFFFFF"/>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Програма економічного і соціального розвитку Покровської міської територіальної громади Донецької області на 2024 рік (далі – Програма) 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інфраструктури, підтримка внутрішньо переміщених осіб, забезпечення якості та загальної доступності публічних послуг, підвищення підтримки ініціатив малого бізнесу, посилення позитивного впливу на сферу інвестиційної діяльності, захист населення і територій від надзвичайних ситуацій, заходи, пов’язані з наслідками військової агресії Російської Федерації  а території громади. 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Програму розроблено з урахуванням програмних документів, які діють на державному, регіональному та місцевому рівнях, а саме: </w:t>
      </w:r>
      <w:r>
        <w:rPr>
          <w:rFonts w:ascii="Times New Roman" w:eastAsia="Times New Roman" w:hAnsi="Times New Roman" w:cs="Times New Roman"/>
          <w:color w:val="1D1D1B"/>
          <w:sz w:val="28"/>
          <w:szCs w:val="28"/>
          <w:lang w:eastAsia="uk-UA"/>
        </w:rPr>
        <w:t xml:space="preserve">Указ Президента України від 30 вересня </w:t>
      </w:r>
      <w:r>
        <w:rPr>
          <w:rFonts w:ascii="Times New Roman" w:eastAsia="Times New Roman" w:hAnsi="Times New Roman" w:cs="Times New Roman"/>
          <w:color w:val="1D1D1B"/>
          <w:sz w:val="28"/>
          <w:szCs w:val="28"/>
          <w:lang w:eastAsia="uk-UA"/>
        </w:rPr>
        <w:br/>
        <w:t xml:space="preserve">2019 року № 722/2019 «Про Цілі сталого розвитку України на період до 2030 року»; Державна Стратегія регіонального розвитку на 2021-2027 роки, затверджена постановою Кабінету Міністрів України від 05 серпня 2020 року № 695; Стратегія розвитку Донецької області на період до 2027 року та План заходів з реалізації у 2021-2023 роках Стратегії розвитку Донецької області на період до 2027 року, затверджені розпорядженням голови облдержадміністрації, керівника обласної військово-цивільної адміністрації від 17 лютого 2020 року № 147/5-20, </w:t>
      </w:r>
      <w:r>
        <w:rPr>
          <w:rFonts w:ascii="Times New Roman" w:hAnsi="Times New Roman" w:cs="Times New Roman"/>
          <w:sz w:val="28"/>
          <w:szCs w:val="28"/>
        </w:rPr>
        <w:t>розпорядження голови Донецької облдержадміністрації, начальника обласної військової адміністрації від 04.09.2023</w:t>
      </w:r>
      <w:r>
        <w:rPr>
          <w:rFonts w:ascii="Times New Roman" w:eastAsia="Times New Roman" w:hAnsi="Times New Roman" w:cs="Times New Roman"/>
          <w:color w:val="1D1D1B"/>
          <w:sz w:val="28"/>
          <w:szCs w:val="28"/>
          <w:lang w:eastAsia="uk-UA"/>
        </w:rPr>
        <w:t xml:space="preserve"> </w:t>
      </w:r>
      <w:r>
        <w:rPr>
          <w:rFonts w:ascii="Times New Roman" w:hAnsi="Times New Roman" w:cs="Times New Roman"/>
          <w:sz w:val="28"/>
          <w:szCs w:val="28"/>
        </w:rPr>
        <w:t>№415/5-23 «Про розробку проекту Програми економічного і соціального розвитку Донецької області на 2024 р.»; інших законодавчих та нормативно-правових актів та поточної ситуації у Покровській міській територіальній громаді, пов’язаної з військовою агресією Російської Федерації та введенням в Україні правового режиму військового стану.</w:t>
      </w:r>
    </w:p>
    <w:p w14:paraId="4DFB11FF"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3.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33EE3A41"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Напрями діяльності Програми реалізуються через планування та здійснення конкретних заходів. Серед цих заходів можуть бути заходи, які відповідно до Закону України «Про оцінку впливу на довкілля», підлягатимуть оцінці </w:t>
      </w:r>
      <w:r>
        <w:rPr>
          <w:rFonts w:ascii="Times New Roman" w:hAnsi="Times New Roman" w:cs="Times New Roman"/>
          <w:sz w:val="28"/>
          <w:szCs w:val="28"/>
        </w:rPr>
        <w:lastRenderedPageBreak/>
        <w:t>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 Детальний перелік заходів буде визначено із врахуванням громадських обговорень, консультацій з органами державної влади та за результатами громадського обговорення звіту про СЕО Програми.</w:t>
      </w:r>
    </w:p>
    <w:p w14:paraId="553DA88D"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4. Інформація про ймовірні наслідки: а) для довкілля, у тому числі для здоров’я населення; б) для територій з природоохоронним статусом; в) транскордонні наслідки для довкілля, у тому числі для здоров’я населення</w:t>
      </w:r>
    </w:p>
    <w:p w14:paraId="39781A5D"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 xml:space="preserve">А) для довкілля, у тому числі для здоров’я населення: Виконання стратегічної екологічної оцінки передбачає аналіз та оцінку ймовірних наслідків та ризиків реалізації заходів прийнятих у Програмі на окремі компоненти довкілля (ґрунти, поверхневі та підземні водні ресурси, атмосферне повітря, рослинний та тваринний світ), соціально-економічні умови розвитку території, а також на здоров’я населення. Можливі ризики пов’язані із розвитком агросектору, промислового сектору, а також військовими діями на території громади та області. Серед них - руйнація природних біотопів водних об'єктів і зменшення кількості біологічних видів через розорювання земель і вирощування монокультур, замулення і зникнення малих річок, озер та боліт через неефективне землеробство, деградацію земель, ерозію ґрунтового покриву. Також можливе забруднення повітря, води та ґрунту через викиди токсичних хімічних речовин у навколишнє середовище через ймовірні бомбардування/обстріли громади. </w:t>
      </w:r>
    </w:p>
    <w:p w14:paraId="4F984643"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 xml:space="preserve">Б) для територій з природоохоронним статусом: Ймовірні наслідки від об’єктів інфраструктури, що пропонуються відповідно реалізації Програми, на території з природоохоронним статусом відсутні. </w:t>
      </w:r>
    </w:p>
    <w:p w14:paraId="1FCC686F"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В) транскордонні наслідки для довкілля, у тому числі для здоров’я населення: Зважаючи на географічне положення території Покровської міської територіальної громади, транскордонні наслідки реалізації завдань Програми для довкілля, у тому числі здоров’я населення, не очікуються.</w:t>
      </w:r>
    </w:p>
    <w:p w14:paraId="7FCF39F8" w14:textId="77777777" w:rsidR="001356E1" w:rsidRDefault="00000000">
      <w:pPr>
        <w:jc w:val="both"/>
        <w:rPr>
          <w:rFonts w:ascii="Times New Roman" w:hAnsi="Times New Roman" w:cs="Times New Roman"/>
          <w:b/>
          <w:sz w:val="28"/>
          <w:szCs w:val="28"/>
        </w:rPr>
      </w:pPr>
      <w:bookmarkStart w:id="0" w:name="_Hlk149058006"/>
      <w:r>
        <w:rPr>
          <w:rFonts w:ascii="Times New Roman" w:hAnsi="Times New Roman" w:cs="Times New Roman"/>
          <w:b/>
          <w:sz w:val="28"/>
          <w:szCs w:val="28"/>
        </w:rPr>
        <w:t>5. Виправдані альтернативи, які необхідно розглянути, у тому числі якщо документ державного планування не буде затверджено</w:t>
      </w:r>
    </w:p>
    <w:bookmarkEnd w:id="0"/>
    <w:p w14:paraId="4BEFE285"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Зважаючи на комплексність рішень, що обумовлюється необхідністю виконання стратегічних цілей Програми, призначених для різних видів соціальної, рекреаційної та комунікаційної діяльності, здійснюється розгляд виправданих альтернатив планованих рішень. Загальною альтернативою є гіпотетичний (нульовий) сценарій, при якому дана Програма не затверджується. «Нульовий сценарій» буде розглянутий в рамках СЕО. Необхідність розгляду інших альтернатив буде визначено під час аналізу проєкту Програми та з урахуванням результатів розгляду цієї заяви.</w:t>
      </w:r>
    </w:p>
    <w:p w14:paraId="4CD1D2DF" w14:textId="77777777" w:rsidR="001356E1" w:rsidRDefault="00000000">
      <w:pPr>
        <w:jc w:val="both"/>
        <w:rPr>
          <w:rFonts w:ascii="Times New Roman" w:hAnsi="Times New Roman" w:cs="Times New Roman"/>
          <w:b/>
          <w:sz w:val="28"/>
          <w:szCs w:val="28"/>
        </w:rPr>
      </w:pPr>
      <w:bookmarkStart w:id="1" w:name="_Hlk149058075"/>
      <w:r>
        <w:rPr>
          <w:rFonts w:ascii="Times New Roman" w:hAnsi="Times New Roman" w:cs="Times New Roman"/>
          <w:b/>
          <w:sz w:val="28"/>
          <w:szCs w:val="28"/>
        </w:rPr>
        <w:t xml:space="preserve">6. </w:t>
      </w:r>
      <w:bookmarkStart w:id="2" w:name="_Hlk149058027"/>
      <w:r>
        <w:rPr>
          <w:rFonts w:ascii="Times New Roman" w:hAnsi="Times New Roman" w:cs="Times New Roman"/>
          <w:b/>
          <w:sz w:val="28"/>
          <w:szCs w:val="28"/>
        </w:rPr>
        <w:t>Дослідження, які необхідно провести, методи і критерії, що використовуватимуться під час стратегічної екологічної оцінки</w:t>
      </w:r>
      <w:bookmarkEnd w:id="2"/>
    </w:p>
    <w:bookmarkEnd w:id="1"/>
    <w:p w14:paraId="28938496"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Для проведення стратегічної екологічної оцінки передбачається використовувати наступну інформацію (за умови що така інформація буде надана): доповіді про стан довкілля в Донецькій області; статистичну інформацію щодо стану довкілля; дані моніторингу стану довкілля в Донецькій області, іншу доступну інформацію. Під час проведення стратегічної екологічної оцінки необхідно застосовувати аналітичні методи, аналіз тенденцій, матриці наслідків, експертний аналіз та, в разі необхідності, інші методи, а також методи участі громадськості, такі як інформування, консультування, обговорення тощо.</w:t>
      </w:r>
    </w:p>
    <w:p w14:paraId="3E524496" w14:textId="77777777" w:rsidR="001356E1" w:rsidRDefault="00000000">
      <w:pPr>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751DFD04" w14:textId="77777777" w:rsidR="001356E1" w:rsidRDefault="00000000">
      <w:pPr>
        <w:jc w:val="both"/>
        <w:rPr>
          <w:rFonts w:ascii="Times New Roman" w:hAnsi="Times New Roman" w:cs="Times New Roman"/>
          <w:b/>
          <w:sz w:val="28"/>
          <w:szCs w:val="28"/>
        </w:rPr>
      </w:pPr>
      <w:r>
        <w:rPr>
          <w:rFonts w:ascii="Times New Roman" w:hAnsi="Times New Roman" w:cs="Times New Roman"/>
          <w:sz w:val="28"/>
          <w:szCs w:val="28"/>
        </w:rPr>
        <w:t xml:space="preserve">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w:t>
      </w:r>
      <w:r>
        <w:rPr>
          <w:rFonts w:ascii="Times New Roman" w:hAnsi="Times New Roman" w:cs="Times New Roman"/>
          <w:sz w:val="28"/>
          <w:szCs w:val="28"/>
        </w:rPr>
        <w:lastRenderedPageBreak/>
        <w:t xml:space="preserve">законодавством та нормативно-правовими актами України по кожній цілі Програми. </w:t>
      </w:r>
    </w:p>
    <w:p w14:paraId="1A806A15"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8. Пропозиції щодо структури та змісту звіту про стратегічну екологічну оцінку</w:t>
      </w:r>
    </w:p>
    <w:p w14:paraId="4B726332"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 xml:space="preserve">Структура звіту про стратегічну екологічну оцінку має враховувати вимоги статті 11 Закону України «Про стратегічну екологічну оцінку». Зміст стратегічної екологічної оцінки визначається переліком основних екологічних проблем наявних на території Покровської міської територіальної громади. </w:t>
      </w:r>
    </w:p>
    <w:p w14:paraId="7E545E82"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9. Орган, до якого подаються зауваження та пропозиції та строки їх подання</w:t>
      </w:r>
    </w:p>
    <w:p w14:paraId="05BAB045"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Зауваження і пропозиції до Заяви про визначення обсягу стратегічної екологічної оцінки до Програми економічного і соціального розвитку Покровської міської територіальної громади на 2024 рік, подаються до управління економіки Департаменту фінансово-економічної політики та управління активами Покровської міської ради. Відповідальна особа: начальник управління економіки Каюн Марія Борисівна.</w:t>
      </w:r>
    </w:p>
    <w:p w14:paraId="6608F119"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Зауваження та пропозиції надсилаються на адресу: площа Шибанкова, 11 каб. 31,</w:t>
      </w:r>
    </w:p>
    <w:p w14:paraId="00164878"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місто Покровськ Донецької області, 85300 або на електронну адресу: findep@pokrovsk-</w:t>
      </w:r>
    </w:p>
    <w:p w14:paraId="71E6C4C9"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rada.gov.ua. з темою листа «До заяви про визначення обсягу СЕО».</w:t>
      </w:r>
    </w:p>
    <w:p w14:paraId="3D183EC5" w14:textId="1DA0CA17" w:rsidR="001356E1" w:rsidRDefault="00000000">
      <w:pPr>
        <w:jc w:val="both"/>
        <w:rPr>
          <w:rFonts w:ascii="Times New Roman" w:hAnsi="Times New Roman" w:cs="Times New Roman"/>
          <w:sz w:val="28"/>
          <w:szCs w:val="28"/>
        </w:rPr>
      </w:pPr>
      <w:r>
        <w:rPr>
          <w:rFonts w:ascii="Times New Roman" w:hAnsi="Times New Roman" w:cs="Times New Roman"/>
          <w:sz w:val="28"/>
          <w:szCs w:val="28"/>
        </w:rPr>
        <w:t>Строк подання зауважень і пропозицій: становить 10 діб з дня оприлюднення Заяви про визначення обсягу стратегічної екологічної оцінки Програми, тобто з 2</w:t>
      </w:r>
      <w:r w:rsidR="00967CF2">
        <w:rPr>
          <w:rFonts w:ascii="Times New Roman" w:hAnsi="Times New Roman" w:cs="Times New Roman"/>
          <w:sz w:val="28"/>
          <w:szCs w:val="28"/>
        </w:rPr>
        <w:t>6</w:t>
      </w:r>
      <w:r>
        <w:rPr>
          <w:rFonts w:ascii="Times New Roman" w:hAnsi="Times New Roman" w:cs="Times New Roman"/>
          <w:sz w:val="28"/>
          <w:szCs w:val="28"/>
        </w:rPr>
        <w:t xml:space="preserve"> жовтня 2023 року до 0</w:t>
      </w:r>
      <w:r w:rsidR="00967CF2">
        <w:rPr>
          <w:rFonts w:ascii="Times New Roman" w:hAnsi="Times New Roman" w:cs="Times New Roman"/>
          <w:sz w:val="28"/>
          <w:szCs w:val="28"/>
        </w:rPr>
        <w:t>4</w:t>
      </w:r>
      <w:r>
        <w:rPr>
          <w:rFonts w:ascii="Times New Roman" w:hAnsi="Times New Roman" w:cs="Times New Roman"/>
          <w:sz w:val="28"/>
          <w:szCs w:val="28"/>
        </w:rPr>
        <w:t xml:space="preserve"> листопада 2023 року (включно).</w:t>
      </w:r>
    </w:p>
    <w:p w14:paraId="662CD478"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подані після встановленого терміну, не розглядаються.</w:t>
      </w:r>
    </w:p>
    <w:p w14:paraId="60DFF5AE" w14:textId="77777777" w:rsidR="001356E1" w:rsidRDefault="00000000">
      <w:pPr>
        <w:jc w:val="both"/>
        <w:rPr>
          <w:rFonts w:ascii="Times New Roman" w:hAnsi="Times New Roman" w:cs="Times New Roman"/>
          <w:b/>
          <w:sz w:val="28"/>
          <w:szCs w:val="28"/>
        </w:rPr>
      </w:pPr>
      <w:r>
        <w:rPr>
          <w:rFonts w:ascii="Times New Roman" w:hAnsi="Times New Roman" w:cs="Times New Roman"/>
          <w:b/>
          <w:sz w:val="28"/>
          <w:szCs w:val="28"/>
        </w:rPr>
        <w:t>10. Повідомлення про оприлюднення Заяви про визначення обсягу СЕО:</w:t>
      </w:r>
    </w:p>
    <w:p w14:paraId="0AE0F83E" w14:textId="77777777" w:rsidR="001356E1" w:rsidRDefault="00000000">
      <w:pPr>
        <w:jc w:val="both"/>
        <w:rPr>
          <w:rFonts w:ascii="Times New Roman" w:hAnsi="Times New Roman" w:cs="Times New Roman"/>
          <w:sz w:val="28"/>
          <w:szCs w:val="28"/>
        </w:rPr>
      </w:pPr>
      <w:r>
        <w:rPr>
          <w:rFonts w:ascii="Times New Roman" w:hAnsi="Times New Roman" w:cs="Times New Roman"/>
          <w:sz w:val="28"/>
          <w:szCs w:val="28"/>
        </w:rPr>
        <w:t xml:space="preserve">Оприлюднення 24.10.2023 року на офіційному веб-сайті Покровської міської військової адміністрації в розділі «Громадянам», підрозділ «Екологія та енергозбереження». </w:t>
      </w:r>
    </w:p>
    <w:sectPr w:rsidR="001356E1">
      <w:pgSz w:w="11900" w:h="16840"/>
      <w:pgMar w:top="140" w:right="660" w:bottom="280" w:left="6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53"/>
    <w:rsid w:val="0002513C"/>
    <w:rsid w:val="00104053"/>
    <w:rsid w:val="001356E1"/>
    <w:rsid w:val="00351E3A"/>
    <w:rsid w:val="003A3158"/>
    <w:rsid w:val="004A19B0"/>
    <w:rsid w:val="0054644F"/>
    <w:rsid w:val="00561902"/>
    <w:rsid w:val="00580B38"/>
    <w:rsid w:val="006C63A4"/>
    <w:rsid w:val="007E224F"/>
    <w:rsid w:val="009644B5"/>
    <w:rsid w:val="00967CF2"/>
    <w:rsid w:val="00971A35"/>
    <w:rsid w:val="00C167C3"/>
    <w:rsid w:val="00CA5CA6"/>
    <w:rsid w:val="00CB3EFD"/>
    <w:rsid w:val="00E01C1B"/>
    <w:rsid w:val="00FE6927"/>
    <w:rsid w:val="032978E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4F36"/>
  <w15:docId w15:val="{A5756A66-D25F-4516-BA16-2F228F3B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Cambria" w:eastAsia="Cambria" w:hAnsi="Cambria" w:cs="Cambria"/>
      <w:sz w:val="22"/>
      <w:szCs w:val="22"/>
      <w:lang w:eastAsia="en-US"/>
    </w:rPr>
  </w:style>
  <w:style w:type="paragraph" w:styleId="1">
    <w:name w:val="heading 1"/>
    <w:basedOn w:val="a"/>
    <w:uiPriority w:val="1"/>
    <w:qFormat/>
    <w:pPr>
      <w:ind w:left="10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pPr>
  </w:style>
  <w:style w:type="character" w:styleId="a4">
    <w:name w:val="Hyperlink"/>
    <w:basedOn w:val="a0"/>
    <w:uiPriority w:val="99"/>
    <w:unhideWhenUsed/>
    <w:rPr>
      <w:color w:val="0000FF" w:themeColor="hyperlink"/>
      <w:u w:val="single"/>
    </w:rPr>
  </w:style>
  <w:style w:type="paragraph" w:styleId="a5">
    <w:name w:val="Title"/>
    <w:basedOn w:val="a"/>
    <w:uiPriority w:val="1"/>
    <w:qFormat/>
    <w:pPr>
      <w:spacing w:before="167"/>
      <w:ind w:left="1948" w:right="1948"/>
      <w:jc w:val="center"/>
    </w:pPr>
    <w:rPr>
      <w:b/>
      <w:bCs/>
      <w:sz w:val="26"/>
      <w:szCs w:val="26"/>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00"/>
    </w:pPr>
  </w:style>
  <w:style w:type="paragraph" w:customStyle="1" w:styleId="TableParagraph">
    <w:name w:val="Table Paragraph"/>
    <w:basedOn w:val="a"/>
    <w:uiPriority w:val="1"/>
    <w:qFormat/>
  </w:style>
  <w:style w:type="paragraph" w:styleId="a7">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5635</Words>
  <Characters>3213</Characters>
  <Application>Microsoft Office Word</Application>
  <DocSecurity>0</DocSecurity>
  <Lines>26</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Auser2</dc:creator>
  <cp:lastModifiedBy>Наталія Алдохіна</cp:lastModifiedBy>
  <cp:revision>3</cp:revision>
  <dcterms:created xsi:type="dcterms:W3CDTF">2023-10-24T13:51:00Z</dcterms:created>
  <dcterms:modified xsi:type="dcterms:W3CDTF">2023-10-25T05:27:00Z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LastSaved">
    <vt:filetime>2023-10-20T00:00:00Z</vt:filetime>
  </property>
  <property fmtid="{D5CDD505-2E9C-101B-9397-08002B2CF9AE}" pid="4" name="KSOProductBuildVer">
    <vt:lpwstr>1033-12.2.0.13266</vt:lpwstr>
  </property>
  <property fmtid="{D5CDD505-2E9C-101B-9397-08002B2CF9AE}" pid="5" name="ICV">
    <vt:lpwstr>F56C5CC506524498845850E1C8D7D5A3_12</vt:lpwstr>
  </property>
</Properties>
</file>