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Основні умови щодо підписання акту стану готовності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теплового господарства до роботи в опалювальний період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(Відповідно до Правил підготовки теплових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№ 620/378 (далі – ППТГдоОП) та Правил технічної експлуатації теплових установок і мереж, затверджених Міністерством палива та енергетики України від 14.02.2007 № 71 (далі – ПТЕТУіМ))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Управління Держенергонагляду у Донецькій області.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Розроблені заходи щодо підготовки теплового господарства суб’єкта господарювання до опалювального періоду.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Наказ про призначення відповідальних осіб за технічний стан і безпечну експлуатацію теплового господарства суб’єкта господарювання, із зазначенням об’єктів, за які відповідає особа.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Протоколи та (або) посвідчення про перевірку знань вимог правил ПТЕТУіМ та ППТГдоОП у відповідальних осіб.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Акти проведення державної повірки вимірювальних приладів (манометри, термометри, лічильники), які встановлені на теплових системах суб’єктів господарювання.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Акти гідропневматичної промивки та гідравлічного випробування теплових мереж та систем опалення, гарячого водопостачання, із позначенням тиску та тривалості  при проведенні випробування.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Інформацію щодо стану систем зовнішнього та внутрішнього електропостачання, відповідності технічного стану електрообладнання вимогам ПТЕЕС.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Звернення на ім’я начальника Управління Держенергонагляду у Донецькій області щодо направлення представника Держенергонагляду для участі в комісії суб’єкта господарювання з перевірки готовності до опалювального періоду 2021–2022 років. Вказати контактний телефон.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Акт стану готовності теплового господарства до опалювального періоду 2021–2022 років оформлюється на кожний об’єкт відповідно до додатку № 1 ППТГдоОП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Акт готовності теплового господарства до опалювального періоду 2021–2022 років оформлюється відповідно до додатку № 3 ППТГдоОП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sectPr>
      <w:headerReference r:id="rId7" w:type="default"/>
      <w:headerReference r:id="rId8" w:type="even"/>
      <w:pgSz w:h="16838" w:w="11906" w:orient="portrait"/>
      <w:pgMar w:bottom="1134" w:top="1134" w:left="1701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260d0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ar-SA" w:eastAsia="ru-RU" w:val="ru-RU"/>
    </w:rPr>
  </w:style>
  <w:style w:type="paragraph" w:styleId="Нормальнийтекст">
    <w:name w:val="Нормальний текст"/>
    <w:basedOn w:val="Обычный"/>
    <w:next w:val="Нормальнийтекст"/>
    <w:autoRedefine w:val="0"/>
    <w:hidden w:val="0"/>
    <w:qFormat w:val="0"/>
    <w:pPr>
      <w:suppressAutoHyphens w:val="1"/>
      <w:spacing w:before="120"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НормальнийтекстЗнак">
    <w:name w:val="Нормальний текст Знак"/>
    <w:next w:val="НормальнийтекстЗнак"/>
    <w:autoRedefine w:val="0"/>
    <w:hidden w:val="0"/>
    <w:qFormat w:val="0"/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bCs w:val="1"/>
      <w:i w:val="1"/>
      <w:iCs w:val="1"/>
      <w:w w:val="100"/>
      <w:position w:val="-1"/>
      <w:sz w:val="28"/>
      <w:effect w:val="none"/>
      <w:vertAlign w:val="baseline"/>
      <w:cs w:val="0"/>
      <w:em w:val="none"/>
      <w:lang w:bidi="ar-SA" w:eastAsia="ar-SA" w:val="uk-UA"/>
    </w:rPr>
  </w:style>
  <w:style w:type="paragraph" w:styleId="Письмо">
    <w:name w:val="Письмо"/>
    <w:basedOn w:val="Обычный"/>
    <w:next w:val="Письмо"/>
    <w:autoRedefine w:val="0"/>
    <w:hidden w:val="0"/>
    <w:qFormat w:val="0"/>
    <w:pPr>
      <w:suppressAutoHyphens w:val="1"/>
      <w:spacing w:line="1" w:lineRule="atLeast"/>
      <w:ind w:leftChars="-1" w:rightChars="0" w:firstLine="68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ar-SA" w:val="uk-UA"/>
    </w:rPr>
  </w:style>
  <w:style w:type="character" w:styleId="ПисьмоЗнак">
    <w:name w:val="Письмо Знак"/>
    <w:next w:val="Письмо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bidi="ar-SA" w:eastAsia="ar-SA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BodyText21">
    <w:name w:val="Body Text 21"/>
    <w:basedOn w:val="Обычный"/>
    <w:next w:val="BodyText21"/>
    <w:autoRedefine w:val="0"/>
    <w:hidden w:val="0"/>
    <w:qFormat w:val="0"/>
    <w:pPr>
      <w:widowControl w:val="0"/>
      <w:suppressAutoHyphens w:val="1"/>
      <w:overflowPunct w:val="0"/>
      <w:autoSpaceDE w:val="0"/>
      <w:spacing w:line="36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тандартныйHTML1">
    <w:name w:val="Стандартный HTML1"/>
    <w:basedOn w:val="Обычный"/>
    <w:next w:val="СтандартныйHTML1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Calibri" w:hAnsi="Courier New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ru-RU" w:val="uk-UA"/>
    </w:r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k-UA" w:eastAsia="uk-UA" w:val="uk-UA"/>
    </w:rPr>
  </w:style>
  <w:style w:type="table" w:styleId="Сіткатаблиці1">
    <w:name w:val="Сітка таблиці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іткатаблиці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іткатаблиці2">
    <w:name w:val="Сітка таблиці2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іткатаблиці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3">
    <w:name w:val="Основной текст3"/>
    <w:basedOn w:val="Обычный"/>
    <w:next w:val="Основнойтекст3"/>
    <w:autoRedefine w:val="0"/>
    <w:hidden w:val="0"/>
    <w:qFormat w:val="0"/>
    <w:pPr>
      <w:widowControl w:val="0"/>
      <w:shd w:color="auto" w:fill="ffffff" w:val="clear"/>
      <w:suppressAutoHyphens w:val="1"/>
      <w:spacing w:after="360" w:line="0" w:lineRule="atLeast"/>
      <w:ind w:leftChars="-1" w:rightChars="0" w:hanging="138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vts0">
    <w:name w:val="rvts0"/>
    <w:next w:val="rvts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yle8">
    <w:name w:val="Style8"/>
    <w:basedOn w:val="Обычный"/>
    <w:next w:val="Style8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468" w:lineRule="atLeast"/>
      <w:ind w:leftChars="-1" w:rightChars="0" w:firstLine="870" w:firstLineChars="-1"/>
      <w:jc w:val="both"/>
      <w:textDirection w:val="btLr"/>
      <w:textAlignment w:val="top"/>
      <w:outlineLvl w:val="0"/>
    </w:pPr>
    <w:rPr>
      <w:rFonts w:ascii="Trebuchet MS" w:cs="Trebuchet MS" w:hAnsi="Trebuchet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9">
    <w:name w:val="Style9"/>
    <w:basedOn w:val="Обычный"/>
    <w:next w:val="Style9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465" w:lineRule="atLeast"/>
      <w:ind w:leftChars="-1" w:rightChars="0" w:firstLine="870" w:firstLineChars="-1"/>
      <w:jc w:val="both"/>
      <w:textDirection w:val="btLr"/>
      <w:textAlignment w:val="top"/>
      <w:outlineLvl w:val="0"/>
    </w:pPr>
    <w:rPr>
      <w:rFonts w:ascii="Trebuchet MS" w:cs="Trebuchet MS" w:hAnsi="Trebuchet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0">
    <w:name w:val="Style10"/>
    <w:basedOn w:val="Обычный"/>
    <w:next w:val="Style10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480" w:lineRule="atLeast"/>
      <w:ind w:leftChars="-1" w:rightChars="0" w:firstLine="885" w:firstLineChars="-1"/>
      <w:jc w:val="both"/>
      <w:textDirection w:val="btLr"/>
      <w:textAlignment w:val="top"/>
      <w:outlineLvl w:val="0"/>
    </w:pPr>
    <w:rPr>
      <w:rFonts w:ascii="Trebuchet MS" w:cs="Trebuchet MS" w:hAnsi="Trebuchet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26">
    <w:name w:val="Font Style26"/>
    <w:next w:val="FontStyle26"/>
    <w:autoRedefine w:val="0"/>
    <w:hidden w:val="0"/>
    <w:qFormat w:val="0"/>
    <w:rPr>
      <w:rFonts w:ascii="Times New Roman" w:cs="Times New Roman" w:hAnsi="Times New Roman"/>
      <w:w w:val="100"/>
      <w:position w:val="-1"/>
      <w:sz w:val="38"/>
      <w:szCs w:val="38"/>
      <w:effect w:val="none"/>
      <w:vertAlign w:val="baseline"/>
      <w:cs w:val="0"/>
      <w:em w:val="none"/>
      <w:lang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4+dEkYWaCU1KX8GrES/FSE9Yw==">AMUW2mULbyTrF5i+mN2govjebOMWIj7vOkTYr/4zwqhQfolDYvqBqMAi10OMt1iyjegftQ6hG8hya0heYMJ1Jh55lEOQgqsWswi+5icHg9/KAPQn/aywSIc=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2021-06-01T11:46:00Z</dcterms:created>
  <dc:creator>WiZaRd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щодо">
    <vt:lpstr/>
  </property>
</Properties>
</file>